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AC5B26" w:rsidP="00AC5B26">
      <w:pPr>
        <w:pStyle w:val="1"/>
        <w:numPr>
          <w:ilvl w:val="0"/>
          <w:numId w:val="0"/>
        </w:numPr>
        <w:jc w:val="right"/>
        <w:rPr>
          <w:rFonts w:eastAsiaTheme="majorEastAsia"/>
          <w:b w:val="0"/>
        </w:rPr>
      </w:pPr>
      <w:bookmarkStart w:id="0" w:name="_Toc504748591"/>
      <w:bookmarkStart w:id="1" w:name="_Toc504750174"/>
      <w:bookmarkStart w:id="2" w:name="_Toc12035762"/>
      <w:r w:rsidRPr="00AC5B26">
        <w:rPr>
          <w:rFonts w:eastAsiaTheme="majorEastAsia"/>
          <w:b w:val="0"/>
        </w:rPr>
        <w:t xml:space="preserve">Приложение </w:t>
      </w:r>
    </w:p>
    <w:p w:rsidR="00AC5B26" w:rsidRPr="00AC5B26" w:rsidRDefault="00AC5B26" w:rsidP="00AC5B26">
      <w:pPr>
        <w:rPr>
          <w:rFonts w:eastAsiaTheme="majorEastAsia"/>
        </w:rPr>
      </w:pPr>
    </w:p>
    <w:p w:rsidR="00AC5B26" w:rsidRPr="000E67B8" w:rsidRDefault="00AC5B26" w:rsidP="00AC5B26">
      <w:pPr>
        <w:pStyle w:val="1"/>
        <w:numPr>
          <w:ilvl w:val="0"/>
          <w:numId w:val="0"/>
        </w:numPr>
        <w:jc w:val="center"/>
        <w:rPr>
          <w:rFonts w:eastAsiaTheme="majorEastAsia"/>
        </w:rPr>
      </w:pPr>
      <w:r>
        <w:rPr>
          <w:rFonts w:eastAsiaTheme="majorEastAsia"/>
        </w:rPr>
        <w:t>П</w:t>
      </w:r>
      <w:r w:rsidRPr="000E67B8">
        <w:rPr>
          <w:rFonts w:eastAsiaTheme="majorEastAsia"/>
        </w:rPr>
        <w:t>роверочны</w:t>
      </w:r>
      <w:r>
        <w:rPr>
          <w:rFonts w:eastAsiaTheme="majorEastAsia"/>
        </w:rPr>
        <w:t>й</w:t>
      </w:r>
      <w:r w:rsidRPr="000E67B8">
        <w:rPr>
          <w:rFonts w:eastAsiaTheme="majorEastAsia"/>
        </w:rPr>
        <w:t xml:space="preserve"> спис</w:t>
      </w:r>
      <w:r>
        <w:rPr>
          <w:rFonts w:eastAsiaTheme="majorEastAsia"/>
        </w:rPr>
        <w:t>о</w:t>
      </w:r>
      <w:r w:rsidRPr="000E67B8">
        <w:rPr>
          <w:rFonts w:eastAsiaTheme="majorEastAsia"/>
        </w:rPr>
        <w:t>к (чек-лист) для выявления административных барьеров</w:t>
      </w:r>
      <w:bookmarkEnd w:id="0"/>
      <w:bookmarkEnd w:id="1"/>
      <w:bookmarkEnd w:id="2"/>
    </w:p>
    <w:p w:rsidR="00AC5B26" w:rsidRPr="003F1A55" w:rsidRDefault="00AC5B26" w:rsidP="00AC5B26">
      <w:pPr>
        <w:pStyle w:val="a6"/>
        <w:spacing w:after="120" w:line="240" w:lineRule="auto"/>
        <w:rPr>
          <w:rFonts w:ascii="Times New Roman" w:eastAsiaTheme="majorEastAsia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6602"/>
        <w:gridCol w:w="2196"/>
      </w:tblGrid>
      <w:tr w:rsidR="00AC5B26" w:rsidRPr="003F1A55" w:rsidTr="00484C4B">
        <w:trPr>
          <w:trHeight w:val="931"/>
          <w:tblHeader/>
        </w:trPr>
        <w:tc>
          <w:tcPr>
            <w:tcW w:w="404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b/>
                <w:sz w:val="24"/>
                <w:szCs w:val="24"/>
              </w:rPr>
              <w:t>Проверочный вопрос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b/>
                <w:sz w:val="24"/>
                <w:szCs w:val="24"/>
              </w:rPr>
              <w:t xml:space="preserve">Присутствие/ учет фактора (характеристики) </w:t>
            </w: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Совершены ли следующие организационные действия, обеспечивающие формирование системы выявления и снижения административных барьеров для негосударственных поставщиков услуг в социальной сфере? 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Обеспечен сбор информации от негосударственных поставщиков услуг в социальной сфере, позволяющий зафиксировать типичные проблемы, затрудняющие их разумное и результативное привлечение к оказанию услуг.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Проведены циклы совещаний с уполномоченными органами в социальной сфере, территориальными управлениями заинтересованных федеральных органов исполнительной власти, представителями научных, общественных и экспертных организаций.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 ходе совещаний подготовлены ли предложения по решению выявленных проблем в типичных ситуациях, оптимизации осуществления разрешительных и контрольно-надзорных полномочий, реорганизации административных процедур, в том числе по внесению изменений в законодательные и подзаконные нормативные правовые акты.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 отраслях социальной сферы выявлена успешная практика, которая может быть распространена на иные отрасли и ситуации взаимодействия негосударственных поставщиков с органами власти по поводу оказания услуг в социальной сфере.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На основе подготовленных предложений при участии рабочих групп сформированы планы-графики их реализации, устанавливающие в том числе: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442564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 w:rsidR="00442564">
              <w:rPr>
                <w:rFonts w:ascii="Times New Roman" w:eastAsiaTheme="majorEastAsia" w:hAnsi="Times New Roman"/>
                <w:sz w:val="24"/>
                <w:szCs w:val="24"/>
              </w:rPr>
              <w:t>5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.1.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сроки принятия законодательных и подзаконных нормативных правовых актов, разработки и внедрения иных механизмов снижения или снятия бюрократических барьеров;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442564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 w:rsidR="00442564">
              <w:rPr>
                <w:rFonts w:ascii="Times New Roman" w:eastAsiaTheme="majorEastAsia" w:hAnsi="Times New Roman"/>
                <w:sz w:val="24"/>
                <w:szCs w:val="24"/>
              </w:rPr>
              <w:t>5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.2.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ответственные органы и лица;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442564" w:rsidP="00F30114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1.5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.3.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вклады и формы вовлечения  в разработку и внедрение предложенных мер представителей экспертных и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общественных организаций, предпринимательских объединений, общественных палат и советов, отдельных негосударственных поставщиков услуг в социальной сфере, а также организаций по защите прав потребителей и получателей услуг в социальной сфере.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При формировании организационных структур и проведении шагов по снятию административных </w:t>
            </w:r>
            <w:r w:rsidR="00442564">
              <w:rPr>
                <w:rFonts w:ascii="Times New Roman" w:eastAsiaTheme="majorEastAsia" w:hAnsi="Times New Roman"/>
                <w:sz w:val="24"/>
                <w:szCs w:val="24"/>
              </w:rPr>
              <w:t xml:space="preserve">барьеров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учтено существование имеющихся органов, занимающихся отдельными элементами дебюрократизации: региональный совет по развитию предпринимательства при губернаторе региона, Уполномоченный по правам предпринимателей, проектные офисы для реализации отдельных пилотных проектов в отраслях социальной сферы, сформированные на предыдущем этапе, тематические рабочие группы по реализации стандарта конкуренции, экспертные группы по внедрению инвестиционного стандарта и т.п.: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CC48B3">
            <w:pPr>
              <w:pStyle w:val="a6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 w:rsidR="00CC48B3">
              <w:rPr>
                <w:rFonts w:ascii="Times New Roman" w:eastAsiaTheme="majorEastAsia" w:hAnsi="Times New Roman"/>
                <w:sz w:val="24"/>
                <w:szCs w:val="24"/>
              </w:rPr>
              <w:t>6.1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проводятся совместные совещания рабочих групп с принятием общих решений;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CC48B3" w:rsidP="00CC48B3">
            <w:pPr>
              <w:pStyle w:val="a6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1.6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ajorEastAsia" w:hAnsi="Times New Roman"/>
                <w:sz w:val="24"/>
                <w:szCs w:val="24"/>
              </w:rPr>
              <w:t>2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вопросы снижения барьеров в деятельности негосударственных поставщиков услуг в социальной сфере включены в планы деятельности соответствующих органов и рабочих групп.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821D4E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Принимаемые рабочими группами, иными органамирешения, планы деятельности и результаты их реализации  по снижению административных барьеров отражаются на портале единой автоматизированной информационной системы поддержки 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 xml:space="preserve">социально ориентированных некоммерческих организаций (далее –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СОНКО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>)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 и портале поддержки субъектов 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 xml:space="preserve">малого и среднего предпринимательства (далее –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МСП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>)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 в регионе.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047C2A" w:rsidRDefault="00047C2A" w:rsidP="00047C2A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Регулярно проводится мониторинг реализации принятых решений.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047C2A" w:rsidRDefault="00047C2A" w:rsidP="00047C2A">
            <w:pPr>
              <w:pStyle w:val="a6"/>
              <w:spacing w:after="120" w:line="240" w:lineRule="auto"/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 рамках реализации в субъекте Российской Федерации Стандарта деятельности органов исполнительной власти субъекта Российской Федерации по обеспечению благоприятного инвести</w:t>
            </w:r>
            <w:bookmarkStart w:id="3" w:name="_GoBack"/>
            <w:bookmarkEnd w:id="3"/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ционного климата в регионе рассмотрены вопросы распространения требований стандарта на деятельность по обеспечению инвестиций в социальную сферу региона.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596BB1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Содержит ли </w:t>
            </w:r>
            <w:r w:rsidR="00596BB1">
              <w:rPr>
                <w:rFonts w:ascii="Times New Roman" w:eastAsiaTheme="majorEastAsia" w:hAnsi="Times New Roman"/>
                <w:sz w:val="24"/>
                <w:szCs w:val="24"/>
              </w:rPr>
              <w:t xml:space="preserve">государственная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программа </w:t>
            </w:r>
            <w:r w:rsidR="00596BB1">
              <w:rPr>
                <w:rFonts w:ascii="Times New Roman" w:eastAsiaTheme="majorEastAsia" w:hAnsi="Times New Roman"/>
                <w:sz w:val="24"/>
                <w:szCs w:val="24"/>
              </w:rPr>
              <w:t xml:space="preserve">Иркутской области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меры по снижению административных барьеров для СОНКО?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Вовлечены ли в деятельность по преодолению административных барьеров в деятельности СОНКО ресурсные центры поддержки СОНКО?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Вовлечены ли в деятельность по преодолению административных барьеров в деятельности социальных предпринимателей Центры инноваций в социальной сфере?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596BB1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Вовлечены ли в выявление проблемных процедур и административных барьеров следующие значимые группы? 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9B4780" w:rsidRDefault="00596BB1" w:rsidP="00596BB1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СО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НКО, представители малого и среднего бизнеса, индивидуальные предприниматели, ведущие или предполагающие ведение деятельности по оказанию услуг в социальной сфере, а также их объединения;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общественные объединения и некоммерческие организации, защищающие интересы групп населения – получателей услуг в социальной сфере;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522A15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общественные объединения, СОНКО, экспертные организации, имеющие опыт исследования, анализа и оценки административных барьеров в социальной сфере и в иных отраслях экономики;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организации и объединения, защищающие права и интересы СОНКО, субъектов МСП.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522A15" w:rsidP="00522A15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СО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НКО, представители малого и среднего бизнеса, индивидуальные предприниматели, ведущие или предполагающие ведение деятельности по оказанию услуг в социальной сфере, а также их объединения;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общественные объединения и некоммерческие организации, защищающие интересы групп населения – получателей услуг в социальной сфере;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Иные референтные группы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9E42B9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Выявлены ли в ходе анализа процедуры или требования НПА проблемы, которые являются источниками увеличения издержек негосударственным поставщиком? 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недостаток информации или ее асимметричность (непонятность, запутанность информации, ее отсутствие или недоступность, в т.ч. предоставление информации в неудобном виде и т.п.);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избыточность требований в НПА;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плохо организованный административный процесс, сложный и запутанный процесс согласования (подготовки) к входу в процедуру;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недостаток места размещения процедуры (нет «одного окна», невозможность прохождения этапов процедуры дистанционным способом, отсутствует межведомственное взаимодействие, в этапах решения участвуют неуполномоченные субъекты и т.п.);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недостаток времени (длительность процедур оплаты, несвоевременность предъявления требования и т.п.);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оппортунистическое поведение вовлеченных государственных и муниципальных служащих («отлынивание», бездействие или вымогательство в виде перенесения издержек административного действия на негосударственного поставщика);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отсутствие (размывание) прозрачных требований (процедура исполняется «как заведено», без формальной фиксации – и поэтому сложна для новичка), наличие избыточных возможностей принятия решения исключительно в зависимости от усмотрения государственных (муниципальных) служащих;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6.8.</w:t>
            </w:r>
          </w:p>
        </w:tc>
        <w:tc>
          <w:tcPr>
            <w:tcW w:w="3448" w:type="pct"/>
          </w:tcPr>
          <w:p w:rsidR="00AC5B26" w:rsidRPr="003F1A55" w:rsidRDefault="00522A15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иные.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522A15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Выявлены ли в ходе оценки предпринимателями и сотрудниками СОНКО следующие характеристики, свидетельствующие наличии барьеров во взаимодействии с органами государственной власти и местного самоуправления?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Субъективная качественная оценка предпринимателями и сотрудниками СОНКО прохождения процедур и соблюдения требований законодательства как очень сложных. Оценка сложности с приведением примеров конкретной ситуации, сопровождаемой конкретными количественными расчетами понесенных затрат из-за сложности процедур: например, времени сотрудников, транспортных и иных расходов на неоднократное посещение, неоднократное повторение одних и тех же этапов процедуры, подачи и возвращения документов и т.п.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Субъективная качественная оценка негосударственными поставщиками отсутствия (или противоречивости) устойчивых процедур, правил, инструкций и требований, вследствие чего, по их мнению, они находятся в неравном положении с государственными (муниципальными)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учреждениями или иными категориями поставщиков, либо сталкиваются с усмотрением государственных (муниципальных) служащих.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9B4780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Неудовлетворительность временем</w:t>
            </w:r>
            <w:r w:rsidR="00AC5B26" w:rsidRPr="003F1A55">
              <w:rPr>
                <w:rFonts w:ascii="Times New Roman" w:eastAsiaTheme="majorEastAsia" w:hAnsi="Times New Roman"/>
                <w:sz w:val="24"/>
                <w:szCs w:val="24"/>
              </w:rPr>
              <w:t>, которое поставщик услуг в социальной сфере вынужден тратить на прохождение процедур и соблюдения требований законодательства, включая высокую длительность совокупности предписанных процедур, сверхнормативное затягивание решения, слишком короткие сроки получения необходимых к предоставлению сведений и документов и т.п.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522A15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Отмеченные ли как несоразмерные/избыточные/несвоевременные следующие затраты денежных средств: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2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официальные платежи, связанные с оплатой пошлин, получением квитанции, нотариальных заверений и т.д.;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2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6A640C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оплата понесенных издержек и времени работников МСП и СОНКО, которые было потрачено для соблюдения требований законодательства и прохождения бюрократических процедур;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2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оплата услуг специализированных консалтинговых фирм и организаций-посредников, которые были привлечены бизнесом или СОНКО для прохождения той или иной процедуры;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2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6A640C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упоминаемые как опыт неформальных платежей (платежи, которые не могут быть отнесены к себестоимости, целевой характер которых будет трудно доказать контролирующим органам и т.п.), которые МСП и СОНКО вынуждены сделать, чтобы пройти какую-либо процедуру.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 w:themeFill="background1" w:themeFillShade="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 w:themeFill="background1" w:themeFillShade="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Проводился ли анализ законодательства и практики регулирования деятельности негосударственных поставщиков, процедур из взаимодействий с уполномоченными органами в сравнении с другими регионами и имеющейся в них успешной практикой.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2F2F2"/>
          </w:tcPr>
          <w:p w:rsidR="00AC5B26" w:rsidRPr="003F1A55" w:rsidRDefault="00AC5B26" w:rsidP="00F3011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2F2F2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Запрашивались ли и получены ли в ходе анализа процедуры взаимодействия негосударственных поставщиков услуг в социальной сфере с уполномоченными органами сведения, выявляющие проблемный характер таких процедур взаимодействия? </w:t>
            </w:r>
          </w:p>
        </w:tc>
        <w:tc>
          <w:tcPr>
            <w:tcW w:w="1147" w:type="pct"/>
            <w:shd w:val="clear" w:color="auto" w:fill="F2F2F2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Имеются ли документы, которые, по мнению негосударственных поставщиков, не влияют на качество, объём и прочие характеристики услуг, но их требуют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государственные и муниципальные органы (учреждения)?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документы, которые не предоставляют иные субъекты оказания услуг (подведомственные учреждения по сравнению с негосударственными организациями, некоммерческие организации по сравнению с коммерческими или ИП, расположенные в городе по сравнению с расположенными с сельской местности)?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нерациональные (бессмысленные) затраты, которые возникают по требованию государственных и муниципальных органов (учреждений)?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периоды ожидания решений государственных или муниципальных органов, когда деятельность негосударственного поставщика затруднена?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Приходится ли получать документы в одном государственном или муниципальном органе (учреждении) и относить их в другой?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ситуации, когда государственный или муниципальный орган (учреждение) произвольно решает, разрешить что-то или нет?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ситуации, когда государственный или муниципальный орган (учреждение) может навязать поставщиков или покупателей, повлиять на цену, сроки или иные условия договоров?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проблемы со своевременным получением полной и достоверной информации от государственных и муниципальных органов (учреждений)?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Затрудняют ли проверки деятельность по оказанию услуг? В чем это выражается? 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  <w:shd w:val="clear" w:color="auto" w:fill="FFFFFF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  <w:shd w:val="clear" w:color="auto" w:fill="FFFFFF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Возникают ли постоянно новые требования со стороны государственных и муниципальных органов (учреждений)?</w:t>
            </w:r>
          </w:p>
        </w:tc>
        <w:tc>
          <w:tcPr>
            <w:tcW w:w="1147" w:type="pct"/>
            <w:shd w:val="clear" w:color="auto" w:fill="FFFFFF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дублирование функций разных государственных или муниципальных органов, в результате которой возникают противоречивые требования?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проблемы в доступе к потребителям услуги?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чётко определённые сроки действия различных разрешений и согласований?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Всегда ли возможно электронное взаимодействие с государственным</w:t>
            </w:r>
            <w:r w:rsidR="009B4780">
              <w:rPr>
                <w:rFonts w:ascii="Times New Roman" w:eastAsiaTheme="majorEastAsia" w:hAnsi="Times New Roman"/>
                <w:sz w:val="24"/>
                <w:szCs w:val="24"/>
              </w:rPr>
              <w:t>и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 xml:space="preserve"> или муниципальными органами </w:t>
            </w: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(организациями)?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Является ли отчётность неизменной, имеются ли случаи требования специальных разовых отчётов?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Является ли отчётность неизбыточной, связанной только с характеристиками услуги?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Имеется ли система оповещения государственными или муниципальными органами негосударственных поставщиков об изменении законодательства, правил и процедур?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Имеется ли возможность обратиться в государственный или муниципальный орган с предложением об оптимизации процедур, упрощения правил и реально повлиять на них 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Имеются ли неурегулированные законодательством сферы, где государственные и муниципальные органы (учреждения) стараются ничего не делать, или где их действия носят характер усмотрений?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  <w:tr w:rsidR="00AC5B26" w:rsidRPr="003F1A55" w:rsidTr="00484C4B">
        <w:tc>
          <w:tcPr>
            <w:tcW w:w="404" w:type="pct"/>
          </w:tcPr>
          <w:p w:rsidR="00AC5B26" w:rsidRPr="003F1A55" w:rsidRDefault="00AC5B26" w:rsidP="00F30114">
            <w:pPr>
              <w:pStyle w:val="a6"/>
              <w:numPr>
                <w:ilvl w:val="1"/>
                <w:numId w:val="2"/>
              </w:numPr>
              <w:spacing w:line="240" w:lineRule="auto"/>
              <w:ind w:left="0" w:firstLine="0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448" w:type="pct"/>
          </w:tcPr>
          <w:p w:rsidR="00AC5B26" w:rsidRPr="003F1A55" w:rsidRDefault="00AC5B26" w:rsidP="00442564">
            <w:pPr>
              <w:pStyle w:val="a6"/>
              <w:spacing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F1A55">
              <w:rPr>
                <w:rFonts w:ascii="Times New Roman" w:eastAsiaTheme="majorEastAsia" w:hAnsi="Times New Roman"/>
                <w:sz w:val="24"/>
                <w:szCs w:val="24"/>
              </w:rPr>
              <w:t>Иное</w:t>
            </w:r>
          </w:p>
        </w:tc>
        <w:tc>
          <w:tcPr>
            <w:tcW w:w="1147" w:type="pct"/>
          </w:tcPr>
          <w:p w:rsidR="00AC5B26" w:rsidRPr="003F1A55" w:rsidRDefault="00AC5B26" w:rsidP="00F30114">
            <w:pPr>
              <w:pStyle w:val="a6"/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</w:tc>
      </w:tr>
    </w:tbl>
    <w:p w:rsidR="00F00963" w:rsidRDefault="00F00963"/>
    <w:sectPr w:rsidR="00F00963" w:rsidSect="00543C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D5" w:rsidRDefault="00A46CD5" w:rsidP="00AC5B26">
      <w:pPr>
        <w:spacing w:after="0" w:line="240" w:lineRule="auto"/>
      </w:pPr>
      <w:r>
        <w:separator/>
      </w:r>
    </w:p>
  </w:endnote>
  <w:endnote w:type="continuationSeparator" w:id="1">
    <w:p w:rsidR="00A46CD5" w:rsidRDefault="00A46CD5" w:rsidP="00AC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D5" w:rsidRDefault="00A46CD5" w:rsidP="00AC5B26">
      <w:pPr>
        <w:spacing w:after="0" w:line="240" w:lineRule="auto"/>
      </w:pPr>
      <w:r>
        <w:separator/>
      </w:r>
    </w:p>
  </w:footnote>
  <w:footnote w:type="continuationSeparator" w:id="1">
    <w:p w:rsidR="00A46CD5" w:rsidRDefault="00A46CD5" w:rsidP="00AC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8798"/>
      <w:docPartObj>
        <w:docPartGallery w:val="Page Numbers (Top of Page)"/>
        <w:docPartUnique/>
      </w:docPartObj>
    </w:sdtPr>
    <w:sdtContent>
      <w:p w:rsidR="00543CC8" w:rsidRDefault="00543CC8">
        <w:pPr>
          <w:pStyle w:val="a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43CC8" w:rsidRDefault="00543C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B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D95F8A"/>
    <w:multiLevelType w:val="hybridMultilevel"/>
    <w:tmpl w:val="E6365CD0"/>
    <w:lvl w:ilvl="0" w:tplc="120EF44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4D6A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0D9DC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2906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E4CFC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8DFE6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725F3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CDF1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05D42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B26"/>
    <w:rsid w:val="00047C2A"/>
    <w:rsid w:val="001541C7"/>
    <w:rsid w:val="002C7773"/>
    <w:rsid w:val="003B4D3A"/>
    <w:rsid w:val="003D3A9C"/>
    <w:rsid w:val="00442564"/>
    <w:rsid w:val="00467887"/>
    <w:rsid w:val="00484C4B"/>
    <w:rsid w:val="004D250D"/>
    <w:rsid w:val="00522A15"/>
    <w:rsid w:val="0054294E"/>
    <w:rsid w:val="00543CC8"/>
    <w:rsid w:val="00596BB1"/>
    <w:rsid w:val="006A640C"/>
    <w:rsid w:val="007C3517"/>
    <w:rsid w:val="00821D4E"/>
    <w:rsid w:val="008704F7"/>
    <w:rsid w:val="009B4780"/>
    <w:rsid w:val="009E42B9"/>
    <w:rsid w:val="00A46CD5"/>
    <w:rsid w:val="00A53307"/>
    <w:rsid w:val="00AC5B26"/>
    <w:rsid w:val="00BE1557"/>
    <w:rsid w:val="00CC48B3"/>
    <w:rsid w:val="00D90DEF"/>
    <w:rsid w:val="00F0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6"/>
    <w:pPr>
      <w:spacing w:after="106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C5B26"/>
    <w:pPr>
      <w:keepNext/>
      <w:keepLines/>
      <w:numPr>
        <w:numId w:val="1"/>
      </w:numPr>
      <w:spacing w:after="102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2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note text"/>
    <w:basedOn w:val="a"/>
    <w:link w:val="a4"/>
    <w:uiPriority w:val="99"/>
    <w:rsid w:val="00AC5B2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Theme="minorEastAsia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C5B26"/>
    <w:rPr>
      <w:rFonts w:ascii="Times New Roman" w:eastAsiaTheme="minorEastAsia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AC5B26"/>
    <w:rPr>
      <w:rFonts w:cs="Times New Roman"/>
      <w:vertAlign w:val="superscript"/>
    </w:rPr>
  </w:style>
  <w:style w:type="paragraph" w:customStyle="1" w:styleId="a6">
    <w:name w:val="Основной текст отчета"/>
    <w:basedOn w:val="a"/>
    <w:link w:val="a7"/>
    <w:rsid w:val="00AC5B26"/>
    <w:pPr>
      <w:spacing w:after="200" w:line="276" w:lineRule="auto"/>
      <w:ind w:firstLine="0"/>
      <w:jc w:val="left"/>
    </w:pPr>
    <w:rPr>
      <w:rFonts w:ascii="Calibri" w:eastAsiaTheme="minorEastAsia" w:hAnsi="Calibri"/>
      <w:color w:val="auto"/>
      <w:sz w:val="22"/>
    </w:rPr>
  </w:style>
  <w:style w:type="character" w:customStyle="1" w:styleId="a7">
    <w:name w:val="Основной текст отчета Знак"/>
    <w:link w:val="a6"/>
    <w:locked/>
    <w:rsid w:val="00AC5B26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8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4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9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footer"/>
    <w:basedOn w:val="a"/>
    <w:link w:val="ad"/>
    <w:uiPriority w:val="99"/>
    <w:unhideWhenUsed/>
    <w:rsid w:val="0054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94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Аксененко</dc:creator>
  <cp:keywords/>
  <dc:description/>
  <cp:lastModifiedBy>Наталья Александровна Алсаева</cp:lastModifiedBy>
  <cp:revision>12</cp:revision>
  <cp:lastPrinted>2019-07-12T01:52:00Z</cp:lastPrinted>
  <dcterms:created xsi:type="dcterms:W3CDTF">2019-07-11T06:40:00Z</dcterms:created>
  <dcterms:modified xsi:type="dcterms:W3CDTF">2019-09-02T10:26:00Z</dcterms:modified>
</cp:coreProperties>
</file>